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0E" w:rsidRPr="00FE3B0E" w:rsidRDefault="00FE3B0E" w:rsidP="00FE3B0E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FE3B0E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Консультация для воспитателей «Демонстрационные и раздаточные материалы по развитию элементарных математических представлений детей дошкольного возраста»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Введение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Формирование элементарных математических представлений (ФЭМП) - это одна из важнейших частей интеллектуального и личностного развития ребенка. В соответствии с ФГОС дошкольное образовательное учреждение является первой образовательной ступенью и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 Что подразумевается под понятием ФЭМП у дошкольников - это распознавание величины предметов и сравнение этих величин; овладение счетом; развитие представлений о пространственных отношениях; знакомство с геометрическими фигурами; развитие представлений о времени; измерение и некоторые меры; доли; сравнение предметов.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Современные требования математической подготовки детей дошкольного возраста в соответствии с ФГОС: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Обеспечение системности в процессе формирования математических знаний у дошкольников.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Повышение качества усвоения математических представлений и понятий детьми (осознанность, умение их использовать при решении практических задач).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Формирование математических представлений, но и базовых математических понятий.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Ориентация на развитие умственных способностей ребенка (формирование умений воспринимать, запоминать, рассуждать, анализировать, обобщать, делать выводы и т.п.)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Создание благоприятных условий для развития математических способностей ребенка.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Развитие познавательных процессов и способностей в процессе формирования математических представлений.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Повышение уровня познавательной активности на занятиях по математике.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Достижение высокого уровня готовности к изучению математике в школе.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Овладение предметами учебной деятельности на занятиях по математике.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Организация обучения детей с учетом индивидуальных способностей и др.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Современные средства математического развития и обучения детей дошкольного возраста.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дидактике особое место отводится средствам обучения и их влиянию на результат обучения. Дидактические средства являются орудием труда педагога и 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инструментом познавательной деятельности детей. Средства обучения являются источниками получения информации. Следует различать понятия «наглядность» и «дидактические средства».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Дидактические средства – более широкое понятие. Сюда входят совокупности предметов, явлений, знаки, модели, действия, слово.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i/>
          <w:iCs/>
          <w:color w:val="303F50"/>
          <w:sz w:val="21"/>
          <w:u w:val="single"/>
          <w:lang w:eastAsia="ru-RU"/>
        </w:rPr>
        <w:t>Функции дидактических средств: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реализуют принцип наглядности; переводят абстрактные математические понятия в доступную для детей форму; способствуют накоплению чувственного, логико-математического опыта и овладению способами действий; увеличивают объем самостоятельной деятельности детей; интенсифицируют процесс обучения.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Группы дидактических средств:</w:t>
      </w:r>
    </w:p>
    <w:p w:rsidR="00FE3B0E" w:rsidRPr="00FE3B0E" w:rsidRDefault="00FE3B0E" w:rsidP="00FE3B0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комплекты наглядного дидактического материала</w:t>
      </w:r>
    </w:p>
    <w:p w:rsidR="00FE3B0E" w:rsidRPr="00FE3B0E" w:rsidRDefault="00FE3B0E" w:rsidP="00FE3B0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оборудование для самостоятельных игр и занятий</w:t>
      </w:r>
    </w:p>
    <w:p w:rsidR="00FE3B0E" w:rsidRPr="00FE3B0E" w:rsidRDefault="00FE3B0E" w:rsidP="00FE3B0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занимательный математический материал</w:t>
      </w:r>
    </w:p>
    <w:p w:rsidR="00FE3B0E" w:rsidRPr="00FE3B0E" w:rsidRDefault="00FE3B0E" w:rsidP="00FE3B0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пособия для воспитателя: учебники, методическая литература, конспекты, сборники дидактических игр и др.)</w:t>
      </w:r>
    </w:p>
    <w:p w:rsidR="00FE3B0E" w:rsidRPr="00FE3B0E" w:rsidRDefault="00FE3B0E" w:rsidP="00FE3B0E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познавательные книги для детей, рабочие тетради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Характеристика комплекта наглядного дидактического материала.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Обучение детей математике основывается на конкретных образах и представлениях в силу наглядно-образного и наглядно-действенного характера мышления. Поэтому большую роль играют наглядные дидактические средства.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Наглядность в математике характеризуется следующими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особенностями:</w:t>
      </w:r>
    </w:p>
    <w:p w:rsidR="00FE3B0E" w:rsidRPr="00FE3B0E" w:rsidRDefault="00FE3B0E" w:rsidP="00FE3B0E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внимание обращается только </w:t>
      </w:r>
      <w:proofErr w:type="gramStart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те</w:t>
      </w:r>
      <w:proofErr w:type="gramEnd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особенности демонстрируемых материалов, которые являются объектом изучения в математике;</w:t>
      </w:r>
    </w:p>
    <w:p w:rsidR="00FE3B0E" w:rsidRPr="00FE3B0E" w:rsidRDefault="00FE3B0E" w:rsidP="00FE3B0E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постепенно наблюдается ослабление конкретного: натуральный предмет </w:t>
      </w:r>
      <w:r w:rsidRPr="00FE3B0E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→</w:t>
      </w:r>
      <w:r w:rsidRPr="00FE3B0E">
        <w:rPr>
          <w:rFonts w:ascii="Verdana" w:eastAsia="Times New Roman" w:hAnsi="Verdana" w:cs="Verdana"/>
          <w:color w:val="303F50"/>
          <w:sz w:val="20"/>
          <w:szCs w:val="20"/>
          <w:lang w:eastAsia="ru-RU"/>
        </w:rPr>
        <w:t xml:space="preserve"> изображение предмета в виде картинки </w:t>
      </w:r>
      <w:r w:rsidRPr="00FE3B0E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→</w:t>
      </w:r>
      <w:r w:rsidRPr="00FE3B0E">
        <w:rPr>
          <w:rFonts w:ascii="Verdana" w:eastAsia="Times New Roman" w:hAnsi="Verdana" w:cs="Verdana"/>
          <w:color w:val="303F50"/>
          <w:sz w:val="20"/>
          <w:szCs w:val="20"/>
          <w:lang w:eastAsia="ru-RU"/>
        </w:rPr>
        <w:t xml:space="preserve"> черто</w:t>
      </w: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чка </w:t>
      </w:r>
      <w:r w:rsidRPr="00FE3B0E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→</w:t>
      </w:r>
      <w:r w:rsidRPr="00FE3B0E">
        <w:rPr>
          <w:rFonts w:ascii="Verdana" w:eastAsia="Times New Roman" w:hAnsi="Verdana" w:cs="Verdana"/>
          <w:color w:val="303F50"/>
          <w:sz w:val="20"/>
          <w:szCs w:val="20"/>
          <w:lang w:eastAsia="ru-RU"/>
        </w:rPr>
        <w:t xml:space="preserve"> число; геометрическая фигура </w:t>
      </w:r>
      <w:r w:rsidRPr="00FE3B0E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→</w:t>
      </w:r>
      <w:r w:rsidRPr="00FE3B0E">
        <w:rPr>
          <w:rFonts w:ascii="Verdana" w:eastAsia="Times New Roman" w:hAnsi="Verdana" w:cs="Verdana"/>
          <w:color w:val="303F50"/>
          <w:sz w:val="20"/>
          <w:szCs w:val="20"/>
          <w:lang w:eastAsia="ru-RU"/>
        </w:rPr>
        <w:t xml:space="preserve"> абстрактный образ </w:t>
      </w:r>
      <w:r w:rsidRPr="00FE3B0E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→</w:t>
      </w:r>
      <w:r w:rsidRPr="00FE3B0E">
        <w:rPr>
          <w:rFonts w:ascii="Verdana" w:eastAsia="Times New Roman" w:hAnsi="Verdana" w:cs="Verdana"/>
          <w:color w:val="303F50"/>
          <w:sz w:val="20"/>
          <w:szCs w:val="20"/>
          <w:lang w:eastAsia="ru-RU"/>
        </w:rPr>
        <w:t xml:space="preserve"> схема, график, чертеж.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Виды наглядности:</w:t>
      </w:r>
    </w:p>
    <w:p w:rsidR="00FE3B0E" w:rsidRPr="00FE3B0E" w:rsidRDefault="00FE3B0E" w:rsidP="00FE3B0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натуральная наглядность;</w:t>
      </w:r>
    </w:p>
    <w:p w:rsidR="00FE3B0E" w:rsidRPr="00FE3B0E" w:rsidRDefault="00FE3B0E" w:rsidP="00FE3B0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изобразительная наглядность (картинки, рисунки, таблицы, экранные наглядные пособия, модели предметов);</w:t>
      </w:r>
    </w:p>
    <w:p w:rsidR="00FE3B0E" w:rsidRPr="00FE3B0E" w:rsidRDefault="00FE3B0E" w:rsidP="00FE3B0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математическая наглядность (числовые фигуры, линии, стрелки, чертежи, диаграммы, схемы, знаки, графики, цифры, модели геометрических фигур и др.).</w:t>
      </w:r>
      <w:proofErr w:type="gramEnd"/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Традиционно комплект наглядного дидактического материала делится на два вида: демонстрационный (предназначен для показа всей группе детей) и раздаточный (предназначен для работы одного ребёнка, индивидуально).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К первому относятся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: крупные игрушки, полочки для показа предметов, крупные плоскостные изображения,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фланелеграф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магнитная доска,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мультимедийная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установка, мольберт, доска меловая, картины, таблицы крупные, крупные модели геометрических фигур, карточки с цифрами, знаками крупные, измерительные приборы (часы, весы, счеты), календари, слайды, ТСО,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tv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– программы и др.</w:t>
      </w:r>
      <w:proofErr w:type="gramEnd"/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lastRenderedPageBreak/>
        <w:t>Ко второму относятся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мелкие предметы, мелкие плоскостные изображения, карточки, наборы геометрических фигур в пеналах, цифры мелкие, счетные палочки, перфокарты, рабочие листы, тетради и др.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 наглядному материалу предъявляют ряд требований. Он должен соответствовать возрасту детей; в нем должны быть хорошо выражены особенности предметов; изображения не должны изобиловать деталями; наглядность должна быть привлекательной для детей, безопасной, устойчивой, прочной; отличаться разнообразием. Хранить дидактические средства необходимо отдельно от других предметов и игрушек. При демонстрации их необходимо размещать на уровне глаз детей.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Оборудование для самостоятельных игр и занятий:</w:t>
      </w:r>
    </w:p>
    <w:p w:rsidR="00FE3B0E" w:rsidRPr="00FE3B0E" w:rsidRDefault="00FE3B0E" w:rsidP="00FE3B0E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некоторые дидактические средства, применяемые на занятиях</w:t>
      </w:r>
    </w:p>
    <w:p w:rsidR="00FE3B0E" w:rsidRPr="00FE3B0E" w:rsidRDefault="00FE3B0E" w:rsidP="00FE3B0E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дидактические игры (настольно-печатные и с предметами)</w:t>
      </w:r>
    </w:p>
    <w:p w:rsidR="00FE3B0E" w:rsidRPr="00FE3B0E" w:rsidRDefault="00FE3B0E" w:rsidP="00FE3B0E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обучающие и развивающие игры</w:t>
      </w:r>
    </w:p>
    <w:p w:rsidR="00FE3B0E" w:rsidRPr="00FE3B0E" w:rsidRDefault="00FE3B0E" w:rsidP="00FE3B0E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шашки, шахматы</w:t>
      </w:r>
    </w:p>
    <w:p w:rsidR="00FE3B0E" w:rsidRPr="00FE3B0E" w:rsidRDefault="00FE3B0E" w:rsidP="00FE3B0E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занимательный математический материал</w:t>
      </w:r>
    </w:p>
    <w:p w:rsidR="00FE3B0E" w:rsidRPr="00FE3B0E" w:rsidRDefault="00FE3B0E" w:rsidP="00FE3B0E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отдельные дидактические средства: блоки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Дьенеша</w:t>
      </w:r>
      <w:proofErr w:type="spellEnd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палочки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Кюизенера</w:t>
      </w:r>
      <w:proofErr w:type="spellEnd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счетный материал, кубики с цифрами и знаками и др.</w:t>
      </w:r>
    </w:p>
    <w:p w:rsidR="00FE3B0E" w:rsidRPr="00FE3B0E" w:rsidRDefault="00FE3B0E" w:rsidP="00FE3B0E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книги с учебно-познавательным материалом для чтения и рассматривания иллюстраций.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Эти средства помещаются в зоне самостоятельной познавательной и игровой деятельности, периодически обновляются. К ним необходимо обеспечить свободный доступ детей.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Занимательный математический материал.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Занимательный математический материал – это математические развлечения, игры, логические игры, задачи и упражнения, дидактические игры и упражнения, Занимательность математическому материалу придают элементы, содержащиеся в каждой задаче, логическом упражнении, развлечении, будь-то шахматы или самая элементарная головоломка.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Особое значение для развития интереса к математике, математических способностей имеет занимательный математический материал. Он позволяет решать серьезные учебные задачи в увлекательной форме, предупредить интеллектуальную пассивность, сформировать настойчивость и целеустремленность. Он должен быть разнообразным и использоваться систематически.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 занимательному математическому материалу относятся:</w:t>
      </w:r>
    </w:p>
    <w:p w:rsidR="00FE3B0E" w:rsidRPr="00FE3B0E" w:rsidRDefault="00FE3B0E" w:rsidP="00FE3B0E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геометрические конструкторы: «</w:t>
      </w:r>
      <w:proofErr w:type="spellStart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Танграм</w:t>
      </w:r>
      <w:proofErr w:type="spellEnd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», «Волшебный круг», «</w:t>
      </w:r>
      <w:proofErr w:type="spellStart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Колумбово</w:t>
      </w:r>
      <w:proofErr w:type="spellEnd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яйцо» и др.</w:t>
      </w:r>
    </w:p>
    <w:p w:rsidR="00FE3B0E" w:rsidRPr="00FE3B0E" w:rsidRDefault="00FE3B0E" w:rsidP="00FE3B0E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головоломки из объемных фигур: «Змейка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Рубика</w:t>
      </w:r>
      <w:proofErr w:type="spellEnd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», «Кубик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Рубика</w:t>
      </w:r>
      <w:proofErr w:type="spellEnd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», «Волшебные шарики», «Пирамидка», «Сложи узор», «</w:t>
      </w:r>
      <w:proofErr w:type="spellStart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Уникуб</w:t>
      </w:r>
      <w:proofErr w:type="spellEnd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», «Кубики для всех» и т.п.</w:t>
      </w:r>
    </w:p>
    <w:p w:rsidR="00FE3B0E" w:rsidRPr="00FE3B0E" w:rsidRDefault="00FE3B0E" w:rsidP="00FE3B0E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логические упражнения типа «Продолжи ряд», «Недостающая фигура», «Преобразование слов» и т.д.</w:t>
      </w:r>
    </w:p>
    <w:p w:rsidR="00FE3B0E" w:rsidRPr="00FE3B0E" w:rsidRDefault="00FE3B0E" w:rsidP="00FE3B0E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задачи на нахождение признаков сходств и отличий</w:t>
      </w:r>
    </w:p>
    <w:p w:rsidR="00FE3B0E" w:rsidRPr="00FE3B0E" w:rsidRDefault="00FE3B0E" w:rsidP="00FE3B0E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лабиринты</w:t>
      </w:r>
    </w:p>
    <w:p w:rsidR="00FE3B0E" w:rsidRPr="00FE3B0E" w:rsidRDefault="00FE3B0E" w:rsidP="00FE3B0E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упражнения на распознавание частей в целом, восстановления целого из частей</w:t>
      </w:r>
    </w:p>
    <w:p w:rsidR="00FE3B0E" w:rsidRPr="00FE3B0E" w:rsidRDefault="00FE3B0E" w:rsidP="00FE3B0E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задачи-головоломки с палочками</w:t>
      </w:r>
    </w:p>
    <w:p w:rsidR="00FE3B0E" w:rsidRPr="00FE3B0E" w:rsidRDefault="00FE3B0E" w:rsidP="00FE3B0E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загадки, стихи и другой литературный материал с математическим </w:t>
      </w:r>
      <w:proofErr w:type="gramStart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содержанием</w:t>
      </w:r>
      <w:proofErr w:type="gramEnd"/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 многое другое.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Требования к занимательному математическому материалу как дидактическому средству: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1. Материал должен быть разнообразным. Это требование вытекает из основной его функции, заключающейся в развитии и совершенствовании количественных, пространственных и временных представлений у детей. Разнообразными должны быть занимательные задачи по способам решения. Когда способ решения найден, то аналогичные задачи решаются без особого труда, сама задача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нестандартной становится шаблонной, ее развивающее влияние резко снижается. Разнообразить следует и формы организации работы с этим материалом: индивидуальные и групповые, в свободной самостоятельной деятельности и на занятиях, в детском саду и дома и т. д.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2. Занимательный материал должен использоваться не эпизодически, случайно, а в определенной системе, предполагающей постепенное усложнение задач, игр, упражнений.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3. Организуя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деятельность детей с занимательным материалом и руководя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ею, необходимо сочетать методы прямого обучения с созданием условий для самостоятельных поисков способов решения.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4. Занимательный материал должен отвечать разным уровням общего и математического развития ребенка. Это требование реализуется благодаря варьированию заданий, методических приемов и форм организации.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5. Использование занимательного математического материала должно сочетаться с другими дидактическими средствами по формированию у детей элементарных математических представлений.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Познавательные книги для детей, рабочие тетради.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Познавательная книга является своеобразным учителем, выступает «наглядной опорой» деятельности и обеспечивает активизацию интереса детей к информации, представленной в ней. Часто такие книги адресованы родителями и используются в семье в процессе и совместной деятельности воспитателя и детей.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познавательной книге возможно представление математического содержания в наглядной форме:</w:t>
      </w:r>
    </w:p>
    <w:p w:rsidR="00FE3B0E" w:rsidRPr="00FE3B0E" w:rsidRDefault="00FE3B0E" w:rsidP="00FE3B0E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литературном сюжете, посредством ярких образов — персонажей, через создание проблемных ситуаций, к решению которых можно привлечь детей;</w:t>
      </w:r>
    </w:p>
    <w:p w:rsidR="00FE3B0E" w:rsidRPr="00FE3B0E" w:rsidRDefault="00FE3B0E" w:rsidP="00FE3B0E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изобразительными средствами (иллюстрации), что вызывает эмоциональность, доминирование наглядно-образного мышления, предпочтение игровой деятельности.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Условно можно выделить: 1) книги, ориентированные на обогащение математических представлений дошкольников; 2) книги, обеспечивающие развитие умений, логических операций.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lastRenderedPageBreak/>
        <w:t>К первой группе: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книг относятся различные альбомы (например, «Формы», «Противоположности»), познавательные энциклопедии. Для них ведущей является функция представления новой информации.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Альбомы для детей раннего и младшего возраста направлены на обогащение сенсорных впечатлений и наглядное представление осваиваемых эталонов (формы, цвета).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Основная задача детей — рассмотреть изображения, соотнести, например, форму предмета и геометрическую фигуру, запомнить слова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(вверху — внизу, большое — маленькое).</w:t>
      </w:r>
      <w:proofErr w:type="gramEnd"/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Для детей более старшего возраста (5—7 лет) используются различные познавательные книги энциклопедического характера (например, «Как измеряли время раньше?»), которые позволяют расширить и углубить представления дошкольников о средствах и способах измерения, нумерации и т. п. Как правило, в данных энциклопедиях информация представлена в занимательной форме; книги содержат иллюстрации и образные примеры,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рассчитанны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 «зону ближайшего развития», вызывают познавательный интерес дошкольников.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Представление информации по главам обеспечивает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лимитирование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времени и содержания занятий с детьми.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ряде книг новая информация представлена в занимательной форме — сюжета сказки, истории (В. Волина «Праздник числа.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Занимательная математика для детей»; Л. А. Левинова, К. А.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Сапгар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«Приключение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Кубарика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Томатика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или Веселая математика»; Ж. Житомирский, Л.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Шеврин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«Математическая азбука»).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 правило, в данных книгах присутствуют «сквозные» персонажи, участвующие во всех эпизодах и близкие опыту детей; сюжеты и эпизоды часто аналогичны детской жизнедеятельности или повторяют сюжетные линии известных детям произведений. Идентификация детей с персонажами вызывает эмоциональные переживания и желание помочь персонажу (подсказать, решить задачу, вместе с ним узнать что-то новое и т. п.). Содержание, как правило, структурировано по главам, которые моделируют последовательность занятий с детьми.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Ко второй группе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можно условно отнести разнообразные книги-альбомы для дошкольников, предусматривающие выполнение детьми последовательности заданий (3.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А. Серова «Знакомлюсь с математикой.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Пособие для подготовки детей к школе»).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Подобные пособия и книги также могут быть тематическими или представлять задания в сюжетной форме (путешествия персонажей; сказки и истории, в процессе которых детям предстоит выполнить ряд заданий). Для создания мотивации и активизации интереса детей к выполнению заданий используются персонажи. Как правило, задания в таких книгах представлены в порядке усложнения. Также в книгах второй группы учитываются необходимость тактильно-двигательного обследования и значение практических действий в познании; предусматриваются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дорисовывание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элементов, соединение по линиям, выкладывание образов из геометрических фигур, которые прилагаются к книге; приводятся некоторые игры (игры типа крестов; игры с обручами и т. п.).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Часто в данных книгах используют различные символы — подсказки действий (нарисовать, закрасить, вырезать, решить и т. п.), что позволяет детям, не умеющим читать, ориентируясь на символы, понять содержание задания.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Обобщенный анализ данных позволяет выделить ряд </w:t>
      </w:r>
      <w:r w:rsidRPr="00FE3B0E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требований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к книге математического содержания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FE3B0E" w:rsidRPr="00FE3B0E" w:rsidRDefault="00FE3B0E" w:rsidP="00FE3B0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она должна быть доступной по содержанию, представлениям и форме;</w:t>
      </w:r>
    </w:p>
    <w:p w:rsidR="00FE3B0E" w:rsidRPr="00FE3B0E" w:rsidRDefault="00FE3B0E" w:rsidP="00FE3B0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соответствовать санитарно-гигиеническим требованиям (размер, используемые материалы и краски, качество и размер рисунков и т. п.);</w:t>
      </w:r>
    </w:p>
    <w:p w:rsidR="00FE3B0E" w:rsidRPr="00FE3B0E" w:rsidRDefault="00FE3B0E" w:rsidP="00FE3B0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иметь педагогическую ценность и позволять решать образовательные, воспитательные и развивающие задачи в единстве;</w:t>
      </w:r>
    </w:p>
    <w:p w:rsidR="00FE3B0E" w:rsidRPr="00FE3B0E" w:rsidRDefault="00FE3B0E" w:rsidP="00FE3B0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содержать усложняющееся и последовательно представленное математическое содержание; обеспечивать «зону ближайшего развития»;</w:t>
      </w:r>
    </w:p>
    <w:p w:rsidR="00FE3B0E" w:rsidRPr="00FE3B0E" w:rsidRDefault="00FE3B0E" w:rsidP="00FE3B0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способствовать формированию реалистичных представлений об объектах мира;</w:t>
      </w:r>
    </w:p>
    <w:p w:rsidR="00FE3B0E" w:rsidRPr="00FE3B0E" w:rsidRDefault="00FE3B0E" w:rsidP="00FE3B0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быть красочной; содержать интересный сюжет или задания, ориентированные на имеющийся опыт детей;</w:t>
      </w:r>
    </w:p>
    <w:p w:rsidR="00FE3B0E" w:rsidRPr="00FE3B0E" w:rsidRDefault="00FE3B0E" w:rsidP="00FE3B0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представлять содержание разделами (главами, страницами) для эффективной организации деятельности детей;</w:t>
      </w:r>
    </w:p>
    <w:p w:rsidR="00FE3B0E" w:rsidRPr="00FE3B0E" w:rsidRDefault="00FE3B0E" w:rsidP="00FE3B0E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предусматривать различные по содержанию задачи (дорисовать, придумать самостоятельно, проанализировать образец и т. п.) и вариативные задания (усложняющиеся аналоги).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Основная функция </w:t>
      </w:r>
      <w:r w:rsidRPr="00FE3B0E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рабочих тетрадей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заключается в активации самостоятельного выполнения заданий математического содержания; упражнении в умениях; развитии логических операций.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Например, к образовательной программе «От рождения до школы» разработаны рабочие тетради для разных возрастных групп (Под редакцией Н.Е.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Вераксы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Т.С. Комаровой, М.А. Васильевой.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«Математика для малышей: Младшая группа, средняя группа», «Математика для дошкольников: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Старшая группа, подготовительная к школе группа.» Дарьи Денисовой и Юрия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Дорожина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); к программам «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Игралочка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», «Раз - ступенька, два - ступенька» представлены цветные рабочие тетради с большим количеством разнообразных заданий; широко используются тетради к другим программам (Ерофеева Т. И., Павлова Л. Н., Новикова В. П. «Математическая тетрадь для дошкольников»; Соловьева Е. В. «Моя математика: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Развивающая книга для детей старшего дошкольного возраста»); к программе «Детство» («Математика — это интересно», сост.: 3.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А. Михайлова, И. Н.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Чеплакшина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Н. Н.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Крутова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Л. Ю. Зуева)</w:t>
      </w:r>
      <w:proofErr w:type="gramEnd"/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Ценность рабочих тетрадей состоит в том, что ребенок получит возможность выполнения действий в «собственном поле деятельности». Ребенок выполняет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каждое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задание в </w:t>
      </w:r>
      <w:r w:rsidRPr="00FE3B0E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своей собственной тетради.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Это повышает активность детей в освоении умений и представлений и делает данный процесс более эффективным (рациональное использование времени занятий, при котором не создается ситуаций «ожидания» ответа и наблюдения за действиями другого ребенка с материалом).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Рабочие тетради содержат задачи, выполнение которых основано на практических действиях (соединить линиями, обвести, дописать и т. п.), что соответствует возрастным возможностям.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тетрадях представлены «успехи и неудачи» детей, что обеспечивает развитие у них самооценки и волевых проявлений.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Использование рабочих тетрадей не следует рассматривать как самоцель и выстраивать занятия только на основе их применения. Тетради могут являться одним из средств, применяться на некоторых занятиях, составлять основу организации некоторых заданий или использоваться в совместной и самостоятельной деятельности.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Выбирая тетрадь, следует учитывать: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цели и задачи образовательной программы, по которой осуществляется развитие и обучение дошкольников; соответствие возрасту детей; возможность сочетания работы с использованием других пособий (развивающих и дидактических игр, современных полифункциональных пособий и т. п.).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В младшей группе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используются книги-игрушки («Книжки-малышки», «Книжки-раскладушки», книги-сюрпризы), основная функция которых заключается в накоплении опыта рассматривания и узнавания предметов, выделения свойств (прежде всего цвета, формы, размера). В таких книгах, как правило, представлены эталоны цвета, формы, размера; также посредством образов и слов демонстрируются их проявления. В группе детского сада организуется совместное рассматривание книг (не ограниченное временем занятие). Педагог обращает внимание на значимые свойства (форму, размеры), называет их словом, активизирует называние проявлений свойств детьми. Как правило, в данных книгах предусматриваются вопросы к детям, возможность практических действий (дотронуться, провести пальцем и т. п.) или используется «синтез искусств» (красочное изображение дополняется стихотворением, игрой-изображением).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Особый интерес у детей проявляется к так называемым «универсальным» множествам — логическим блокам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Дьенеша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палочкам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Кюизенера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.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данном возрасте возможно использование специальных альбомов, в которых предусматривается накладывание блоков (палочек) на цветное изображение (альбом-игра «Блоки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Дьенеша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для самых маленьких (2—3 года)», сост. Б. Б.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Финкельштейн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; альбом-игра «Дом с колокольчиком.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Палочки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Кюизенера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», сост. Б. Б.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Финкельштейн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др.).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Работа с альбомами активизирует игру с соответствующими материалами. Альбомы могут быть помещены в предметно-развивающую среду и использоваться для рассматривания в индивидуальной и подгрупповой работе несколько раз.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Применение рабочих тетрадей в младшей группе детского сада, как правило, ограничено. Тетрадь рекомендуют разбирать на рабочие листы, которые выдаются детям по мере освоения материала. Это связано с тем, что ценность практических действий с предметами, опыт обследования объектов, организация деятельности детей с предметными множествами важнее, чем работа с тетрадями.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В средней группе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сохраняется тенденция использования альбомов и книг для рассматривания. Такие книги должны быть яркими, представлять различные варианты проявления свойств, отношений, активизировать процесс их сравнения детьми. Желательно, чтобы книги и альбомы позволяли организовать различные практические действия детей (выложить в определенном порядке, вставить в прорези, наложить на картинку и т. п.).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Для активизации интереса детей к данным книгам следует использовать методические моменты (сюрпризное внесение; предварительное рассматривание; привлечение детей к оформлению «уголка» и определению месторасположения книг; выставка любимых книг; использование книг в совместной и индивидуальной деятельности).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средней группы также рекомендуют расшивать рабочие тетради на листы. Их хранение может быть обыграно — листы хранятся в подписанных (промаркированных картинкой) файлах в специально отведенном месте; дошкольникам сообщается, что им предстоит играть и заниматься с рабочими листами, сообщаются правила (аккуратно обращаться и т. п.).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В старшем дошкольном возрасте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расширение самостоятельности детей, их познавательных интересов, а также освоение ими средств и способов познания определяет возможность более широкого использования познавательной литературы (детских энциклопедий) и рабочих тетрадей.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Возможна организация совместного еженедельного чтения книг с обсуждением их содержания (например, в четверг во второй половине дня проводится «вечер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Кубарика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Томатика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 (читается очередная глава и проводится обсуждение)).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Некоторые главы и разделы познавательных детских энциклопедий могут предварять освоение определенных тем на занятиях.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Книги с заданиями, направленными на развитие умений и действий, должны располагаться в «уголке книги» (или «уголке познавательного развития»). У детей должна быть возможность воспользоваться ими в любой момент.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активизации интереса детей к книгам можно использовать следующие </w:t>
      </w:r>
      <w:r w:rsidRPr="00FE3B0E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методы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 </w:t>
      </w:r>
      <w:r w:rsidRPr="00FE3B0E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приемы.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Коллекционирование интересных познавательных книг. Педагог привлекает внимание детей к идее сбора интересных книг, из которых они могут узнать много нового и необычного; сообщает о начале коллекционирования, правилах оформления и организации «уголка». Каждая новая приносимая книга рассматривается совместно с детьми, включается в коллекцию. Время от времени в «уголке» проводятся занятия, досуги, выставки с использованием пополняемой коллекции. Данное коллекционирование эффективно в том случае, если книги используются в деятельности детей, если в ходе занятия или совместной деятельности создаются ситуации, требующие активизации информации, представленной в книгах (например, нужно узнать, что такое косая сажень (пуд, миля, пядь); в каких единицах измеряли время раньше и т. п.).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Организация занятий и совместной деятельности по методу проекта, построенного на основе данной познавательной энциклопедии, книги.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Придумывание продолжения сюжетов книг, новых эпизодов, зарисовка интересных моментов в альбомах.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Использование данных книг в условиях семьи (посредством создания библиотеки, которой могут воспользоваться родители в выходные дни).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• Организация экскурсий в детские библиотеки, сопровождающихся рассматриванием каталогов и выставок книг, беседами с библиотекарями и 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читателями; это позволит обогатить опыт дошкольников, вызвать у них интерес к познавательной книге, воспитывать ценностное отношение к книге как средству познания и «сохранения культурных ценностей».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• Использование детских журналов и газет с познавательной информацией и заданиями.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развития «читательской культуры» необходимо напоминать старшим дошкольникам правила пользования книгой, отмечать ценность представленной в ней информации. Полезно обсудить отношение людей к книге в целом и к книге познавательного характера в частности.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Так как рабочие тетради подразумевают выполнение заданий (закрашивание,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дорисовывание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), не следует предлагать детям выполнять задания в уже кем-то раскрашенной тетради. Материалы, которые вызвали интерес у большей части детей группы, следует размножать в виде рабочих листов, заготовок. «Заполненные» листы и тетради могут выступать своеобразной подсказкой для других детей.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Художественное слово в формирование элементарных математических представлений у детей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Художественное слово может сопровождать все виды деятельности детей и поможет понять многие понятия. Существует много стихов, песенок,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потешек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рассказов, в которых отображены разные математические понятия.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системе работы по ФЭМП у детей используются разнообразные литературные средства (сказки, истории, стихотворения, пословицы, поговорки). Это своего рода интеграция художественного слова и математического содержания.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Большую роль в развитии элементарных математических представлений играют </w:t>
      </w:r>
      <w:proofErr w:type="spellStart"/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потешки</w:t>
      </w:r>
      <w:proofErr w:type="spellEnd"/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,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считалки, небылицы, загадки и другие формы устного народного творчества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которые развлекают детей и поддерживают эмоциональный настрой. Ненавязчиво они учат ребенка считать, сравнивать и обобщать.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загадках математического содержания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анализируется предмет с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количественной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пространственной и временной точек зрения, подмечаются простейшие математические отношения.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Загадка может служить:</w:t>
      </w:r>
    </w:p>
    <w:p w:rsidR="00FE3B0E" w:rsidRPr="00FE3B0E" w:rsidRDefault="00FE3B0E" w:rsidP="00FE3B0E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исходным материалом для знакомства с некоторыми математическими понятиями (число, отношение, величина и т.д.).</w:t>
      </w:r>
    </w:p>
    <w:p w:rsidR="00FE3B0E" w:rsidRPr="00FE3B0E" w:rsidRDefault="00FE3B0E" w:rsidP="00FE3B0E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эта же загадка может быть использована для закрепления, конкретизации знаний дошкольников о числах, величинах, отношениях.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Например,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 крыла, а не бабочка. Крыльями машет, а ни с места. (Ветряная мельница)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Имеет 4 зуба. Каждый день появляется за столом, а не ест. (Вилка)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Работать примется одна – другая ей тот час поможет, и даже вымыться одна без помощи другой не может. (Руки)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Рядышком двое стоят, направо, налево глядят. Только друг друга совсем им не видно, это, должно быть, им очень обидно. (Глаза)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Скороговорка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позволяет закреплять, отрабатывать математические термины, слова и обороты речи, связанные с развитием количественных представлений. Соревновательное и игровое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начало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очевидно и привлекательно для детей. Скороговорки можно разучивать на занятиях по математике и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вне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их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Например,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У четырех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черепашат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 четыре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черепашонка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Три сороки тараторки тараторили на горки.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Пословицы и поговорки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на занятиях по ФЭМП можно использовать с целью закрепления количественных представлений. Пословицы можно предложить и с заданием: вставь в пословицы пропущенные названия чисел.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Поговорки: “Убил двух зайцев. Семь пятниц на неделе”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,“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Заблудился в трех соснах”.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Пословицы: «Семь раз отмерь, один раз отрежь», «За двумя зайцами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погонишься ни одного не поймаешь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Считалки-числовки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применяются для закрепления нумерации чисел, порядкового и количественного счета. Их заучивание помогает не только развивать память, но и способствует выработке умения вести пересчет предметов, применять в повседневной жизни сформированные навыки. Предлагаются считалки, например, используемые с целью закрепления умения вести счет в прямом и обратном направлении.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Например: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Один, два, три, четыре, пять, Один, два, тир, четыре!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Шесть, семь! Солдат идет в мундире,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Пойду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каши я поем. С винтовкой на плече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 ж пока считайте, И ранцем на спине.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Кому водить, гадайте!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Девять, восемь, семь, шесть, Три, шесть, девять –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Пять, четыре, три, два, один, Полно спать!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прятки мы играть хотим. Солнышко давно уж встало,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Надо только нам узнать, Нам пора идти гулять!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из нас пойдет искать.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Среди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литературных произведений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которые рекомендуется использовать для математического развития детей можно выделить различные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сказки и рассказы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: «Репка», «Теремок», «Волк и семеро козлят», «Лесенка» Е.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Шабад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«Утренние лучи» «Приглашение в школу» К. Ушинского, «Под грибом» В.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Сутеева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другие.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дидактических целях часто используются произведения, в названии которых присутствуют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указания на числа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(например, «Двенадцать месяцев», «Волк и семеро козлят», «Три поросенка» «Два жадных медвежонка», «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Цветик-семицветик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,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«Три медведя», «Мальчик с пальчик» и т. п.). «Колобок» познакомит 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с порядковым счётом, «Теремок» и «Репка» помогут запомнить количественный и порядковый счёт.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Одно и то же произведение может быть творчески использовано взрослым в различных игровых ситуациях, пройти через различный жизненный и игровой опыт ребенка. Например, пространственные, количественные 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величинные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свойства и отношения представлены достаточно ярко в любимой взрослыми и детьми сказки «Репка».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знакомства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с цифрами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применяются специально сочиненные для дошкольников стихотворения, например С. Маршака «Веселый счет», Т.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Ахмадовой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«Урок счета»,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И.Токмаковой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«Сколько?»; стихотворения Э.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Гайлан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Г.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Виеру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А.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Кодырова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др. Данные описания цифр, фигур способствуют формированию яркого образа, быстро запоминаются детьми.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Задачи со сказочным сюжетом помогают увязать приобретенные знания с окружающей действительностью, позволяет применять их при решении различных жизненных проблем, своим конкретным содержанием способствуют формированию более глубоких и ясных представлений о числах и смысле производимых над ними действий.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Например: «Красная Шапочка принесла бабушке пирожки с мясом и грибами. С мясом было 3 пирожка, а с грибами — 2. сколько всего пирожков принесла девочка своей бабушке? ».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Широко используются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сказки и рассказы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в которых сюжет часто построен на основе некоторого свойства или отношения (например, сюжет «Маша и медведи», в котором смоделированы размерные отношения — серия из трех элементов; сказки по типу «гномы и великаны» («Мальчик-с-пальчик» Ш. Перро, «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Дюймовочка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» Г.Х.Андерсена); истории, моделирующие некоторые математические отношения и зависимости (Г. Остер «Как измеряли удава», Э. Успенский «Бизнес крокодила Гены» и т. п.).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Сюжет, образы персонажей, «мелодика» языка произведения (художественный аспект) и «математическая интрига» представляют собой единое целое.</w:t>
      </w:r>
      <w:proofErr w:type="gramEnd"/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Использование художественной литературы: стихов, сказок,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потешек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загадок, позволяет в образной, наглядной форме понять такое явление, как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время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; понять, что такое минуты, части суток, времена года, их сменяемость.</w:t>
      </w:r>
      <w:proofErr w:type="gramEnd"/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Воспитатель, используя, например, стихи (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А.Барто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С.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Баруздина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К.Чуковского), сказки, загадки,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потешки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может начать знакомство с частями суток уже с детьми младшей группы, опираясь на различные виды деятельности детей.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Спать пора! Уснул бычок,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Лег в коробку на бочок.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Сонный мишка лег в кровать,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Только слон не хочет спать...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(А.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Барто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Встала – прямо не узнать!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 пояса умылась,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Убрала свою кровать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даже косы расчесать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Сама не поленилась.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(С.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Баруздин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 в средней группе при изучении частей суток должен связывать названия частей суток с наиболее заметными объективными и природными показателями (светло, темно, солнце, луна, положение солнца на небе). Для этих целей воспитатель может загадывать детям загадки о частях суток в стихотворной форме, например: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Когда петушок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Раньше всех встает,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Голосисто поет,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Солнышко встречать зовет?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(Утром)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Стало за окном темнеть,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Птицы стали тише петь.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Убирать игрушки нужно,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Мама всех зовет на ужин.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Когда это бывает?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(Вечером)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средней группе необходимо связывать с частями суток деятельность людей, знакомить с понятиями вчера, сегодня и завтра. Для этого используются такие игры, как игра «Путешествие ночью», с применением стихотворения С.Я. Маршака «Ночная страница», чтение стихотворения «Сегодня, Завтра и Вчера» из книги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Лебеденко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Е.М.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Детей в возрасте 6-7 лет можно знакомить с календарем и временами года.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Муха - </w:t>
      </w:r>
      <w:proofErr w:type="spellStart"/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чистюха</w:t>
      </w:r>
      <w:proofErr w:type="spellEnd"/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Жила-была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муха-чистюха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Все время купалась муха.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Купалась она в ВОСКРЕСЕНЬЕ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отличном клубничном варенье.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ПОНЕДЕЛЬНИК - в вишневой наливке,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 ВТОРНИК - в томатной подливке,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СРЕДУ - в лимонном желе,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ЧЕТВЕРГ - в киселе и смоле.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ПЯТНИЦУ - в простокваше,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компоте и в манной каше…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В СУББОТУ, помывшись в чернилах,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Сказала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: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- Я больше не в силах!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Ужжжасно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ужжжасно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устала,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Но, кажется, чище не стала!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Ян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Бжехва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Каков Емеля, такова и неделя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Мы спросили у Емели: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Назови нам дни недели.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Стал Емеля вспоминать.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Стал Емеля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азывать.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Дядька крикнул мне "бездельник" -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Это было в ПОНЕДЕЛЬНИК.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забор я лез, и дворник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Гнал меня метлой во ВТОРНИК.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СРЕДУ я ловил жука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свалился с чердака.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Воевал в ЧЕТВЕРГ с котами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застрял под воротами.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ПЯТНИЦУ дразнил собаку -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Изорвал себе рубаху.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в СУББОТУ - вот потеха! -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свинье верхом поехал.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ВОСКРЕСЕНЬЕ отдыхал -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мосту сидел, дремал.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 с моста свалился в реку.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везёт же человеку!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Так у нашего Емели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Дни недели пролетели.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Н.В. Григорьева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Выбирая литературные произведения для математического развития детей, воспитатели должны учитывать уровень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сформированности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элементарных математических представлений у детей.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Анализируя вместе с педагогом то или иное литературное произведение, осваивая средства художественной выразительности, дети овладевают способностью передавать в образном слове определенное математическое содержание.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Развивающая среда как средство развития математических представлений дошкольников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Современный детский сад — это место, где ребенок получает опыт широкого эмоционально-практического взаимодействия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взрослыми и сверстниками в наиболее значимых для его развития сферах жизни. Возможности организации и обогащения такого опыта расширяются при условии создания в группе детского сада предметно-пространственной развивающей среды. Каждый ее компонент способствует формированию у ребенка опыта освоения средств и способов познания и взаимодействия с окружающим миром, опыта возникновения мотивов новых видов деятельности, опыта общения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взрослыми и сверстниками.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Под развивающей предметно-пространственной средой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следует понимать естественную комфортабельную обстановку, рационально организованную в пространстве и времени, насыщенную разнообразными предметами и игровыми материалами. В такой среде возможно одновременное включение в активную познавательно-творческую деятельность всех детей группы. Активность ребенка в условиях обогащенной развивающей среды стимулируется свободой выбора деятельности исходя из своих интересов и возможностей, стремления к самоутверждению; он занимается по собственному желанию, под воздействием привлекших его внимание игровых материалов. Такая среда способствует установлению чувства уверенности в себе.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Концептуальная модель предметно-пространственной развивающей среды включает в себя три компонента: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предметное содержание, его пространственную организацию и их изменения во времени.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К предметному содержанию относятся игры, предметы и игровые материалы, с которыми ребенок действует преимущественно самостоятельно или в совместной с взрослым и сверстниками деятельности (например, геометрический конструктор,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пазлы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); учебно-методические пособия, модели, используемые взрослым в процессе обучения детей (например, числовая лесенка, обучающие книги); оборудование для осуществления детьми разнообразных деятельностей (например, материалы для экспериментирования, измерений).</w:t>
      </w:r>
      <w:proofErr w:type="gramEnd"/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Непременным условием построения развивающей среды в дошкольных учреждениях любого типа является реализация идей развивающего образования, направленного на развитие личности ребенка и осуществляемого через решение задач на преобразование информации, что позволяет ребенку проявлять самостоятельность и активность; предполагает перспективу саморазвития ребенка на основе познавательно-творческой деятельности.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Особенности организации среды для развития логико-математических представлений у детей разного возраста.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Четвертый год жизни (2 младшая группа)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Предметы ближайшего окружения являются для маленького ребенка источником любопытства и первой ступенью познания мира, поэтому необходимо создание насыщенной предметной среды, в которой происходит активное накопление чувственного опыта ребенка.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Использование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мобилей-подвесов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упростит задачу развития пространственных ориентировок. Воспитатель обращает внимание детей на висящие предметы, использует слова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высоко, ниже, вверху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и другие. В группах детей младшего 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дошкольного возраста основное внимание уделяется освоению приема непосредственного сравнения величин, предметов по количеству, свойствам. Из дидактических игр предпочтительны игры типа лото и парных картинок. Должны быть представлены также мозаика (пластиковая, магнитная и крупная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гвоздиковая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),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пазл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из 5—15 частей, наборы кубиков из 4—12 штук, развивающие игры (например, «Сложи узор», «Сложи квадрат», «Уголки»), а также игры с элементами моделирования и замещения. Разнообразные «мягкие конструкторы» на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ковролиновой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основе позволяют проводить игру по-разному: сидя за столом, стоя у стены, лежа на полу.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Рекомендуется применять абстрактные материалы, облегчающие процесс сопоставления с эталоном, абстрагирование свойств. Особый интерес у детей проявляется к так называемым «универсальным» множествам — логическим блокам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Дьенеша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цветным счетным палочкам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Кюизенера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Пособия интересны тем, что представляют несколько свойств одновременно (цвет, форму, размер, толщину в блоках; цвет, длину в палочках); в наборе много элементов, что активизирует манипулирование и игру с ними. На группу достаточно 1—2-х наборов.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развития мелкой моторики нужно включать в обстановку пластиковые контейнеры с крышками разных форм и размеров, коробки, другие хозяйственные предметы, вышедшие из употребления. Примеряя крышки к коробкам, ребенок накапливает опыт сравнения величин, форм, цветов.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Пятый год жизни (средняя группа)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Развивающееся мышление ребенка, способность устанавливать простейшие связи и отношения между объектами пробуждают интерес к окружающему миру. Некоторый опыт познания окружающего у ребенка уже есть и требует обобщения, систематизации, углубления, уточнения. С этой целью в группе организуется «сенсорный центр» — место, где подобраны предметы и материалы, познавать которые можно с помощью различных органов чувств. Например, музыкальные инструменты и шумовые предметы можно слышать; книги, картинки, калейдоскопы можно видеть.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Используются материалы и пособия, которые позволяют организовать разнообразную практическую деятельность детей: пересчитать, соотнести, сгруппировать, упорядочить. С этой целью широко применяются различные наборы предметов (абстрактные: геометрические фигуры; «жизненные»: шишки, ракушки, игрушки и т. п.).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Основным требованием к таким наборам будет являться их достаточность и вариативность проявлений свой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ств пр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едметов. Важно, чтобы у ребенка всегда была возможность выбора игры, а для этого набор игр должен быть достаточно разнообразным и постоянно меняться (примерно 1 раз в 2 месяца). Около 15% игр должны быть предназначены для детей старшей возрастной группы, чтобы дать возможность детям, опережающим в развитии сверстников, не останавливаться, а продвигаться дальше.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Необходимы игры на сравнение предметов по различным свойствам (цвету, форме, размеру, материалу, функции); группировку по свойствам; воссоздание целого из частей (типа «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Танграм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»,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пазл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из 12—24 частей);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сериацию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 разным свойствам; 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игры на освоение счета. На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ковролине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следует выставить знаковые обозначения разнообразных свойств (геометрические фигуры, цветовые пятна, цифры и др.).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данном возрасте организуются разнообразные игры с блоками на выделение свойств («Клады», «Домино»), группировку по заданным свойствам (игры с одним и двумя обручами). При применении цветных счетных палочек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Кюизенера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внимание обращается на различение по цвету и размеру и на установление зависимости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цвет — длина — число. 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активизации интереса детей к данным материалам следует иметь разнообразные иллюстративные пособия.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Освоение счета и измерения требует использования различных мер: полосок картона разной длины, тесемок, шнуров, стаканчиков, коробок и т. п. Можно организовывать сюжетно-дидактические игры и практические ситуации с весами, разновесами, ростомером.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математической игротеке могут быть размещены различные варианты книг, рабочих тетрадей для рассматривания и выполнения заданий. Для активизации детской деятельности с подобными материалами можно использовать листы с заданиями (картинки для дорисовки, лабиринты), которые также помещаются в уголок математики.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Средний возраст — начало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сензитивного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периода развития знаково-символической функции сознания, это важный этап для умственного развития в целом и для формирования готовности к школьному обучению. В среде группы активно используются знаковая символика, модели для обозначения предметов, действий, последовательностей. Придумывать такие знаки, модели лучше вместе с детьми, подводя их к пониманию, что обозначать можно не только словами, но и графически. Например, вместе с детьми определите последовательность занятий в течение дня в детском саду и придумайте, как обозначить каждое из них. Чтобы ребенок лучше запомнил свой адрес, улицу, город, разместите в группе схему, на которой обозначьте детский сад, улицы и дома, в которых живут дети группы.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Используется наглядность в виде моделей: частей суток (в начале года — линейная; в середине — круговая), простых планов пространства кукольной комнаты. Основным требованием является предметно-схематическая форма данных моделей.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i/>
          <w:iCs/>
          <w:color w:val="303F50"/>
          <w:sz w:val="21"/>
          <w:szCs w:val="21"/>
          <w:u w:val="single"/>
          <w:lang w:eastAsia="ru-RU"/>
        </w:rPr>
        <w:t>Шестой год жизни (старшая группа)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старшем дошкольном возрасте важно развивать любые проявления самостоятельности, самоорганизации, самооценки, самоконтроля, самопознания, самовыражения.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группе специальное место и оборудование выделяется для игротеки. В ней находятся игровые материалы, способствующие речевому, познавательному и математическому развитию детей.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Это дидактические, развивающие и логико-математические игры, направленные на развитие логического действия сравнения, логических операций классификации,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сериации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узнавание по описанию, воссоздание, преобразование, ориентировку по схеме, модели; на осуществление контрольно-проверочных действий («Так бывает?», «Найди ошибки художника»); на следование и чередование и др. Например, для развития логики подойдут игры 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с логическими блоками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Дьенеша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другие игры: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«Логический поезд», «Логический домик», «Четвертый лишний», «Поиск девятого», «Найди отличия». Обязательны тетради на печатной основе, познавательные книги для дошкольников. Полезны игры на развитие умений счетной и вычислительной деятельности, направленные также на развитие психических процессов, в особенности внимания, памяти, мышления.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организации детской деятельности используются разнообразные развивающие игры, дидактические пособия, материалы, позволяющие «потренировать» детей в установлении отношений, зависимостей. Традиционно используются разнообразные развивающие игры (на плоскостное и объемное моделирование), в которых дети не только выкладывают картинки, конструкции по образцам, но и самостоятельно придумывают и составляют силуэты. В старшей группе представлены разные варианты игр на воссоздание («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Танграм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», «Монгольская игра», «Листик», «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Пентамино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», «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Колумбово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яйцо» и др.).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Развитие словесно-логического мышления и логических операций (прежде всего обобщения) позволяет детям 5—6 лет подойти к освоению числа. Дошкольники начинают осваивать способ образования и состав числа, сравнение чисел, выкладывают палочки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Кюизенера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рисуют модель «Домик чисел».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Для накопления опыта действий с множествами используются логические блоки, палочки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Кюизенера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Группе, как правило, бывает достаточно нескольких наборов данных пособий. Возможно использование специальных наглядных пособий, позволяющих осваивать умения вычленять значимые свойства («Поиск заповедного клада», «На золотом крыльце», «Давайте вместе поиграем» и др.).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Вариативность средств измерения (часов разных видов, календарей, линеек и т. п.) активизирует поиск общего и различного, что способствует обобщению представлений о мерах и способах измерения. Данные пособия применяются в самостоятельной и совместной с взрослым деятельности детей. Материалы, вещества должны присутствовать в достаточном количестве; быть эстетично представлены (храниться по возможности в одинаковых прозрачных коробках, емкостях в постоянном месте); позволять экспериментировать с ними (измерять, взвешивать, пересыпать и т. п.). Необходимо предусматривать представление контрастных проявлений свойств (большие и маленькие, тяжелые и легкие камни; высокие и низкие сосуды для воды).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Повышение детской самостоятельности и познавательных интересов определяет более широкое применение в данной группе познавательной литературы (детских энциклопедий), рабочих тетрадей. Наряду с художественной литературой в книжном уголке должна быть представлена справочная, познавательная литература, общие и тематические энциклопедии для дошкольников. Желательно книги расставить в алфавитном порядке, как в библиотеке, или по темам. Воспитатель показывает детям, как из книги можно получить ответы на самые сложные и интересные вопросы. Хорошо иллюстрированная книга становится источником новых интересов дошкольника.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Интерес детей к головоломкам может поддерживаться за счет размещения в игротеке веревочных головоломок, игр на передвижение, а также за счет использования игр-головоломок с палочками (спичками).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индивидуальной работы с детьми, уточнения и расширения их математических представлений используются дидактические пособия и игры: «Самолеты», «Пляшущие человечки», «Постройка города», «Маленький дизайнер», «Цифра-домино», «Прозрачная цифра» и др. Эти игры должны быть представлены в достаточном количестве и по мере снижения у детей интереса к ним заменяться аналогичными. При организации детского экспериментирования стоит новая задача: показать детям различные возможности инструментов, помогающих познавать мир, например микроскопа. Требуется довольно много материалов для детского экспериментирования, поэтому, если позволяют условия, желательно в детском саду для старших дошкольников выделить отдельную комнату для экспериментов с использованием технических средств.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старшем дошкольном возрасте дети проявляют интерес к кроссвордам, познавательным заданиям. С этой целью на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ковролине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можно выкладывать с помощью тонких длинных лент-липучек сетки кроссвордов и крепить листки с картинками или текстами заданий.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Развитие произвольности, планирования позволяет более широко применять игры с правилами — шашки, шахматы, нарды и т. п.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Необходима организация опыта описания предметов,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практикования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 выполнении математических действий, рассуждения, экспериментирования. С этой целью используются наборы материалов для классификации,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сериации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взвешивания, измерения.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Характеристика современных пособий для воспитателей детского сада, родителей и детей как дидактических средств формирования первоначальных математических представлений у детей.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Современные пособия для воспитателей детского сада: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раскрывают сущность работы по формированию элементарных математических представлений у детей в каждой возрастной группе и включают примерные конспекты занятий.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выполняют важные функции в деятельности педагога и детей при формировании у них элементарных математических представлений.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постоянно изменяются, конструируются новые в тесной связи с совершенствованием теории и практики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предматематической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подготовки детей в детских дошкольных учреждениях.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Современные пособия для воспитателей детского сада к программе «От рождения до школы»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Формирование элементарных математических представлений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Методические пособия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Помораева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И.А.,Позина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В. А. Формирование элементарных математических представлений. Вторая группа раннего возраста (2-3 года).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Помораева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И.А.,Позина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В. А. Формирование элементарных математических представлений. Младшая группа (3-4 года).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Помораева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И.А.,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Позина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В.А. Формирование элементарных математических представлений. Средняя группа (4-5 лет).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Помораева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И.А.,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Позина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В.А. Формирование элементарных математических представлений. Старшая группа (5-6 лет).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Помораева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И.А.,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Позина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В.А. Формирование элементарных математических представлений. Подготовительная к школе группа (6-7 лет).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Электронные образовательные ресурсы (ЭОР)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Помораева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И.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А.,Позина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В. А. Формирование элементарных математических представлений. Вторая группа раннего возраста (2-3 года).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Помораева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И.А.,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Позина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В.А. Формирование элементарных математических представлений. Младшая группа (3-4 года).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Помораева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И.А.,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Позина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В.А. Формирование элементарных математических представлений. Средняя группа (4-5 лет).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Помораева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И.А.,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Позина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В.А. Формирование элементарных математических представлений. Старшая группа (5-6 лет).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Помораева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И.А.,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Позина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В.А. Формирование элементарных математических представлений. Подготовительная к школе группа (6-7 лет).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Рабочие тетради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Дарья Денисова, Юрий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Дорожин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Математика для малышей: Младшая группа.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Дарья Денисова, Юрий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орожи н. Математика для малышей: Средняя группа.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Дарья Денисов а, Юрий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орожи н. Математика для дошкольников: Старшая группа.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Дарья Денисова, Юрий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орожи н. Математика для дошкольников: Подготовительная к школе группа.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Наглядно-дидактические пособия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Плакаты: «Счет до 10»; «Счет до 20»; «Цвет»; «Форма».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Парциальные программы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саду. Автор В. П. Новикова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Методические пособия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саду. Сценарии занятий: 3-4 года.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саду. Сценарии занятий: 4-5 лет.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саду. Сценарии занятий: 5-6 лет.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саду. Сценарии занятий: 6-7 лет.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Рабочие тетради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саду: 3-4 года.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саду: 4-5 лет.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саду: 5-6 лет.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Математика в детском саду: 6-7 лет.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Наглядно-дидактические пособия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саду. Демонстрационный материал: 3-7 лет.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саду. Раздаточный материал: 3-5 лет.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Математика в детском саду. Раздаточный материал: 5-7 лет.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Взаимодействие детского сада с семьей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Серия «Школа</w:t>
      </w:r>
      <w:proofErr w:type="gramStart"/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С</w:t>
      </w:r>
      <w:proofErr w:type="gramEnd"/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еми Гномов»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 Первый год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Прибаутки для малютки. Цветные картинки. Мои любимые игрушки. Что как звучит? Кто что делает? Моя первая книжка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 Второй год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Это чей голос? Большой, маленький Пластилиновый снежок Веселый, грустный Мой дом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деревне и на даче. Рисуем пальчиками. Прогулки по городу. Форма, цвет. Чей это хвостик? Мой первый словарик. Кто это, что это?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Третий год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Один, много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Какие бывают профессии. Кто где живет? Цвет, форма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Пластилиновые картинки. Времена года. На лесной полянке. Рисуем пальчиками. Домашние питомцы. Азбука для малышей. Умная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вырезалочка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Что такое хорошо?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 Четвертый год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Счет, форма, величина Логика, мышление Прописи для малышей. Время, пространство. Уроки грамоты. Какие бывают машины? Какие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бывают профессии Я не буду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жадным Я считаю до пяти Развитие речи. Я изучаю природу. Что лежит в лукошке?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Котик-коток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. А 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это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какого цвета? Квадратик и кружок. Сложи картинку. День и ночь. Веселый хоровод.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 Пятый год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Счет, форма, величина Логика, мышление Прописи для малышей. Время, пространство. Уроки грамоты. Что из чего? Расписная игрушка. Быстрее, выше, сильнее. Куда ушли динозавры. Развитие речи. Кто самый, самый? Малышам о звездах и планетах.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 Шестой год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Счет, форма, величина Логика, мышление. Дошкольные прописи. Время, пространство. Уроки грамоты. Защитники Отечества. Московский Кремль. Как перейти дорогу. Я вырасту здоровым. Развитие речи. Тайны природы. География для малышей.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 Седьмой год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Счет, форма, величина Логика, мышление Дошкольные прописи Время, пространство. Уроки грамоты. Уроки этики. Как жили наши предки. Народы мира. 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Где живут предлоги. Чтение с увлечением. Экология для малышей. Тесты для подготовки к школе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Современные пособия для воспитателей детского сада, родителей и детей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условиях динамично меняющегося мира, постоянного совершенствования и усложнения технологий, информатизация сферы образования приобретает фундаментальное значение. Данное направление развития образовательной отрасли, как подчеркивается в государственных документах, признается важнейшим национальным приоритетом. Благодаря преобразованиям все шире проявляется роль информационно-коммуникационных технологий в системе дошкольного образования.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Нормативно-правовую базу, регламентирующую внедрение информационно-коммуникационных технологий в образовательный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процесс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дошкольной образовательной организации, составляют: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Федеральный закон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«Об образовании в Российской Федерации»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от 27 декабря 2012 г. № 273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Федеральный закон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«О персональных данных»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от 27 июля 2006 г. № 152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Федеральный закон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«О защите детей от информации, причиняющей вред их здоровью и развитию»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от 29 декабря 2010 г. № 436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Концепция развития Единой информационной образовательной среды от 29 декабря 2012 г.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Постановление Правительства Российской Федерации «О Федеральной целевой программе развития образования на 2011 – 2015 годы» от 7 февраля 2011 г. № 61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Постановление Правительства Российской Федерации «Об утверждении правил размещения на официальном сайте образовательной организации в информационно-телекоммуникационной сети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«Интернет»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и обновления информации об образовательной организации» от 10 июля 2013 г. № 582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Распоряжение Правительства Российской Федерации от 20 октября 2010 г. № 1815-р «О государственной программе Российской Федерации «Информационное общество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(2011-2020 годы)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»»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Национальная образовательная инициатива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«Наша школа»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от 4 февраля 2010 г. Пр-271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Приказ Министерства образования и науки Российской Федерации «Об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использовании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дистанционных образовательных технологий» от 6 мая 2005 г. № 137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Письмо Министерства образования Российской Федерации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«Об информатизации системы дошкольного образования в России»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от 25 мая 2001 г. № 753/23-16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– Постановление Главного государственного санитарного врача Российской Федерации «Об утверждении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СанПиН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организаций»» от 15 мая 2013 г. № 26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– Постановление Главного государственного санитарного врача Российской Федерации «О введении в действие санитарно-эпидемиологических правил и нормативов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СанПиН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2.2.2/2.4.1340-03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(с изменениями на 3 сентября 2010 г.)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Требования к организации компьютерного обучения дошкольников.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Принятие приоритетного национального проекта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«Образование»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и Концепции федеральной целевой программы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«Развитие информатизации в России на период до 2010 года»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способствует внедрению информационно - коммуникационных технологий в дошкольное образование, что позволяет наиболее полно и успешно реализовать развитие способностей ребенка дошкольного возраста.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Информационно-коммуникационные технологии в образовании это комплекс учебно-методических материалов, технических и инструментальных средств вычислительной техники, форм и методов их применения для совершенствования деятельности специалистов учреждений образования (администрации, воспитателей, специалистов, а также для образования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(развития, диагностики, коррекции)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детей.</w:t>
      </w:r>
      <w:proofErr w:type="gramEnd"/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Информационно - коммуникационные технологии – это технологии обмена информацией, коммуникации. Подразумевается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использование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информации в электронном формате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(текст, видео, аудио, анимация, изображение)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;</w:t>
      </w:r>
      <w:proofErr w:type="gramEnd"/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информационных носителей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(DVD, CD, флэш-памяти)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;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мультимедиа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(игровые компьютерные программы, презентации и др.)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;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аудиовизуального оборудования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 xml:space="preserve">(компьютера, ноутбука, </w:t>
      </w:r>
      <w:proofErr w:type="spellStart"/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ЖК-телевизора</w:t>
      </w:r>
      <w:proofErr w:type="spellEnd"/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, проектора, интерактивной доски)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Основные направления развития информационно - коммуникационных технологий в условиях дошкольной образовательной организации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средство развития и воспитания ребенка;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средство интерактивного обучения;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средство мониторинга за усвоением программы.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Цифровые образовательные ресурсы – это учебные материалы, для воспроизведения которых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используются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электронные устройства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(ПК, магнитофон, DVD – плеер)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Ц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ифровые образовательные ресурсы являются средством информационно - коммуникационных технологий к ним относятся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аудиовизуальный ряд, презентации, развивающие компьютерные игры, дидактические компьютерные игры, компьютерные игры для индивидуальной работы с ребёнком.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Использование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компьютера с целью приобщения детей к современным техническим средствам передачи и хранения информации, что осуществляется в различных игровых технологиях. Это различные компьютерные игры – развлекательные, обучающие, развивающие, диагностические, сетевые игры.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Среди многообразия развивающих игр можно выделить игры на развитие математических представлений: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«Баба Яга учится считать»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«Остров Арифметики»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</w:t>
      </w:r>
      <w:proofErr w:type="spellStart"/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Лунтик</w:t>
      </w:r>
      <w:proofErr w:type="spellEnd"/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. Математика для малышей.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Выбор компьютерных игровых средств играет важную роль для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использования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информационно - коммуникационных технологий в образовательном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процессе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В настоящее время выбор компьютерных игровых программных сре</w:t>
      </w:r>
      <w:proofErr w:type="gram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дств дл</w:t>
      </w:r>
      <w:proofErr w:type="gram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я дошкольников достаточно широк. Но, к сожалению, большинство из этих игр не рассчитаны на реализацию программных задач, поэтому могут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использоваться лишь частично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преимущественно с целью развития психических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процессов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 внимания, памяти, мышления. Основные фирмы производители развивающих и обучающих компьютерных игр – компания "Новый диск", "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Медиа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Хауз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",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Alisa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spellStart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Studio</w:t>
      </w:r>
      <w:proofErr w:type="spellEnd"/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Использование педагогами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цифровых образовательных ресурсов в работе с детьми служит повышению познавательной мотивации воспитанников, соответственно наблюдается рост их достижений, ключевых компетентностей.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u w:val="single"/>
          <w:lang w:eastAsia="ru-RU"/>
        </w:rPr>
        <w:t>По сравнению с традиционными формами воспитания и обучения компьютер обладает рядом преимуществ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: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предъявление информации на экране компьютера в игровой форме вызывает у детей огромный интерес к деятельности;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компьютер несёт в себе образный тип информации, понятный детям, которые пока в совершенстве не владеют техникой чтения и письма;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движения, звук, мультипликация надолго привлекают внимание ребенка;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компьютер является отличным средством для решения задач обучения;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постановка проблемных задач, поощрение ребенка при их правильном решении самим компьютером, является стимулом познавательной активности детей;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компьютер предоставляет возможность реализации индивидуального подхода в работе с детьми дошкольного возраста. В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процессе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деятельности каждый ребенок выполняет задания своего уровня сложности и в своем темпе;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– компьютер очень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«терпелив»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во взаимоотношениях с ребенком, никогда не ругает его за ошибки, а ждет, пока он сам исправит недочеты, что создает в </w:t>
      </w:r>
      <w:r w:rsidRPr="00FE3B0E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процессе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обучения необходимую </w:t>
      </w:r>
      <w:r w:rsidRPr="00FE3B0E">
        <w:rPr>
          <w:rFonts w:ascii="Verdana" w:eastAsia="Times New Roman" w:hAnsi="Verdana" w:cs="Times New Roman"/>
          <w:i/>
          <w:iCs/>
          <w:color w:val="303F50"/>
          <w:sz w:val="21"/>
          <w:lang w:eastAsia="ru-RU"/>
        </w:rPr>
        <w:t>«ситуацию успеха»</w:t>
      </w:r>
      <w:r w:rsidRPr="00FE3B0E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FE3B0E" w:rsidRPr="00FE3B0E" w:rsidRDefault="00FE3B0E" w:rsidP="00FE3B0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FE3B0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Но вместе с тем необходимо помнить, что компьютер не заменит эмоционального человеческого общения так необходимого в дошкольном возрасте. Он только дополняет воспитателя, а не заменяет его!</w:t>
      </w:r>
    </w:p>
    <w:p w:rsidR="00530AC7" w:rsidRDefault="00530AC7"/>
    <w:sectPr w:rsidR="00530AC7" w:rsidSect="0053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8B9"/>
    <w:multiLevelType w:val="multilevel"/>
    <w:tmpl w:val="E7E6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F7621"/>
    <w:multiLevelType w:val="multilevel"/>
    <w:tmpl w:val="6002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9193F"/>
    <w:multiLevelType w:val="multilevel"/>
    <w:tmpl w:val="5424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6127DB"/>
    <w:multiLevelType w:val="multilevel"/>
    <w:tmpl w:val="6662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53A0B"/>
    <w:multiLevelType w:val="multilevel"/>
    <w:tmpl w:val="D1C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AD13B9"/>
    <w:multiLevelType w:val="multilevel"/>
    <w:tmpl w:val="91BE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E19EC"/>
    <w:multiLevelType w:val="multilevel"/>
    <w:tmpl w:val="429A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06771"/>
    <w:multiLevelType w:val="multilevel"/>
    <w:tmpl w:val="2920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B0E"/>
    <w:rsid w:val="00530AC7"/>
    <w:rsid w:val="00FE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C7"/>
  </w:style>
  <w:style w:type="paragraph" w:styleId="1">
    <w:name w:val="heading 1"/>
    <w:basedOn w:val="a"/>
    <w:link w:val="10"/>
    <w:uiPriority w:val="9"/>
    <w:qFormat/>
    <w:rsid w:val="00FE3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3B0E"/>
    <w:rPr>
      <w:i/>
      <w:iCs/>
    </w:rPr>
  </w:style>
  <w:style w:type="character" w:styleId="a5">
    <w:name w:val="Strong"/>
    <w:basedOn w:val="a0"/>
    <w:uiPriority w:val="22"/>
    <w:qFormat/>
    <w:rsid w:val="00FE3B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8315</Words>
  <Characters>47398</Characters>
  <Application>Microsoft Office Word</Application>
  <DocSecurity>0</DocSecurity>
  <Lines>394</Lines>
  <Paragraphs>111</Paragraphs>
  <ScaleCrop>false</ScaleCrop>
  <Company/>
  <LinksUpToDate>false</LinksUpToDate>
  <CharactersWithSpaces>55602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2021-02-20T17:07:00Z</dcterms:created>
  <dcterms:modified xsi:type="dcterms:W3CDTF">2021-02-20T17:11:00Z</dcterms:modified>
</cp:coreProperties>
</file>